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288" w:before="0" w:after="642"/>
        <w:ind w:left="40" w:right="0" w:hanging="0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eastAsia="Times New Roman" w:cs="Times New Roman" w:ascii="Times New Roman" w:hAnsi="Times New Roman"/>
          <w:b/>
          <w:color w:val="000000"/>
          <w:lang w:eastAsia="ru-RU" w:bidi="ru-RU"/>
        </w:rPr>
        <w:t>ОБОСНОВАНИЕ НАЧАЛЬНОЙ (МАКСИМАЛЬНОЙ) ЦЕНЫ ДОГОВОРА /</w:t>
        <w:br/>
        <w:t>ЦЕНЫ ЕДИНИЦЫ ТОВАРА, РАБОТЫ, УСЛУГИ</w:t>
      </w:r>
    </w:p>
    <w:p>
      <w:pPr>
        <w:pStyle w:val="22"/>
        <w:shd w:val="clear" w:color="auto" w:fill="auto"/>
        <w:rPr>
          <w:rFonts w:ascii="Times New Roman" w:hAnsi="Times New Roman" w:cs="Times New Roman"/>
        </w:rPr>
      </w:pPr>
      <w:r>
        <w:rPr>
          <w:rFonts w:eastAsia="Times New Roman" w:cs="Times New Roman"/>
        </w:rPr>
        <w:t>1. Общая информация</w:t>
      </w:r>
    </w:p>
    <w:p>
      <w:pPr>
        <w:pStyle w:val="22"/>
        <w:shd w:val="clear" w:color="auto" w:fill="auto"/>
        <w:rPr>
          <w:rFonts w:ascii="Times New Roman" w:hAnsi="Times New Roman" w:cs="Times New Roman"/>
        </w:rPr>
      </w:pPr>
      <w:r>
        <w:rPr>
          <w:rFonts w:cs="Times New Roman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51"/>
        <w:gridCol w:w="2257"/>
        <w:gridCol w:w="6914"/>
      </w:tblGrid>
      <w:tr>
        <w:trPr/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44" w:before="0" w:after="10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 w:bidi="ru-RU"/>
              </w:rPr>
              <w:t>№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 w:bidi="ru-RU"/>
              </w:rPr>
              <w:t>п/п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Наименование</w:t>
            </w:r>
          </w:p>
        </w:tc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Информация по лоту</w:t>
            </w:r>
          </w:p>
        </w:tc>
      </w:tr>
      <w:tr>
        <w:trPr>
          <w:trHeight w:val="859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1.1.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Наименование лота</w:t>
            </w:r>
          </w:p>
        </w:tc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6"/>
              <w:widowControl w:val="false"/>
              <w:suppressLineNumbers/>
              <w:bidi w:val="0"/>
              <w:spacing w:lineRule="auto" w:line="240" w:before="0" w:after="0"/>
              <w:ind w:left="113" w:right="113" w:hanging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eastAsia="en-US"/>
              </w:rPr>
              <w:t>ОКПД2 43.99.9 Выполнение работ по ремонту водоочистных сооружений Комсомольской ТЭЦ-2 в рамках программы повышения надежности, г. Комсомольск-на-Амуре</w:t>
            </w:r>
          </w:p>
        </w:tc>
      </w:tr>
      <w:tr>
        <w:trPr>
          <w:trHeight w:val="304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1.2.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  <w:t>Номер лота</w:t>
            </w:r>
          </w:p>
        </w:tc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spacing w:before="0" w:after="16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em w:val="none"/>
              </w:rPr>
              <w:t>11029000-РЕМ ПРОД-2027-ДГК-КТЭЦ2</w:t>
            </w:r>
          </w:p>
        </w:tc>
      </w:tr>
      <w:tr>
        <w:trPr>
          <w:trHeight w:val="436" w:hRule="atLeast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1.3.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23"/>
              <w:widowControl w:val="false"/>
              <w:shd w:val="clear" w:color="auto" w:fill="auto"/>
              <w:spacing w:lineRule="exact" w:line="244" w:before="0" w:after="0"/>
              <w:ind w:left="0" w:right="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Style w:val="211pt"/>
                <w:rFonts w:eastAsia="Times New Roman" w:cs="Times New Roman"/>
                <w:lang w:eastAsia="en-US" w:bidi="ar-SA"/>
              </w:rPr>
              <w:t>НМЦ лота</w:t>
            </w:r>
          </w:p>
        </w:tc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tLeast" w:line="57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en-US"/>
              </w:rPr>
              <w:t xml:space="preserve">6 105 709,00 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bidi="ru-RU"/>
              </w:rPr>
              <w:t>рублей без учёта НДС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sz w:val="26"/>
          <w:szCs w:val="26"/>
        </w:rPr>
        <w:t>2. Использованный метод (методы) расчета НМЦ / цены единицы товара, работы, услуги:</w:t>
      </w:r>
    </w:p>
    <w:p>
      <w:pPr>
        <w:pStyle w:val="Normal"/>
        <w:widowControl w:val="false"/>
        <w:spacing w:lineRule="exact" w:line="244" w:before="0" w:after="60"/>
        <w:ind w:left="44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 w:bidi="ru-RU"/>
        </w:rPr>
        <w:t>Метод анализа: ресурсно-индексный</w:t>
      </w:r>
    </w:p>
    <w:p>
      <w:pPr>
        <w:pStyle w:val="Normal"/>
        <w:widowControl w:val="false"/>
        <w:spacing w:lineRule="exact" w:line="244" w:before="0" w:after="60"/>
        <w:ind w:left="440" w:right="0" w:hanging="0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 w:bidi="ru-RU"/>
        </w:rPr>
        <w:t>Обоснование расчета НМЦ: прилагаемый локальный сметный расчет (приложение №4 к Техническим требованиям)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qFormat/>
    <w:pPr>
      <w:keepNext w:val="true"/>
      <w:keepLines/>
      <w:numPr>
        <w:ilvl w:val="0"/>
      </w:numPr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qFormat/>
    <w:pPr>
      <w:keepNext w:val="true"/>
      <w:keepLines/>
      <w:numPr>
        <w:ilvl w:val="0"/>
      </w:numPr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qFormat/>
    <w:pPr>
      <w:keepNext w:val="true"/>
      <w:keepLines/>
      <w:numPr>
        <w:ilvl w:val="0"/>
      </w:numPr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qFormat/>
    <w:pPr>
      <w:keepNext w:val="true"/>
      <w:keepLines/>
      <w:numPr>
        <w:ilvl w:val="0"/>
      </w:numPr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qFormat/>
    <w:pPr>
      <w:keepNext w:val="true"/>
      <w:keepLines/>
      <w:numPr>
        <w:ilvl w:val="0"/>
      </w:numPr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qFormat/>
    <w:pPr>
      <w:keepNext w:val="true"/>
      <w:keepLines/>
      <w:numPr>
        <w:ilvl w:val="0"/>
      </w:numPr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Heading7">
    <w:name w:val="Heading 7"/>
    <w:basedOn w:val="Normal"/>
    <w:qFormat/>
    <w:pPr>
      <w:keepNext w:val="true"/>
      <w:keepLines/>
      <w:numPr>
        <w:ilvl w:val="0"/>
      </w:numPr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Heading8">
    <w:name w:val="Heading 8"/>
    <w:basedOn w:val="Normal"/>
    <w:qFormat/>
    <w:pPr>
      <w:keepNext w:val="true"/>
      <w:keepLines/>
      <w:numPr>
        <w:ilvl w:val="0"/>
      </w:numPr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Heading9">
    <w:name w:val="Heading 9"/>
    <w:basedOn w:val="Normal"/>
    <w:qFormat/>
    <w:pPr>
      <w:keepNext w:val="true"/>
      <w:keepLines/>
      <w:numPr>
        <w:ilvl w:val="0"/>
      </w:numPr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Style">
    <w:name w:val="Символ сноски"/>
    <w:basedOn w:val="DefaultParagraphFont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qFormat/>
    <w:rPr/>
  </w:style>
  <w:style w:type="character" w:styleId="Heading1Char">
    <w:name w:val="Heading 1 Char"/>
    <w:basedOn w:val="DefaultParagraphFont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qFormat/>
    <w:rPr>
      <w:sz w:val="48"/>
      <w:szCs w:val="48"/>
    </w:rPr>
  </w:style>
  <w:style w:type="character" w:styleId="SubtitleChar">
    <w:name w:val="Subtitle Char"/>
    <w:basedOn w:val="DefaultParagraphFont"/>
    <w:qFormat/>
    <w:rPr>
      <w:sz w:val="24"/>
      <w:szCs w:val="24"/>
    </w:rPr>
  </w:style>
  <w:style w:type="character" w:styleId="QuoteChar">
    <w:name w:val="Quote Char"/>
    <w:qFormat/>
    <w:rPr>
      <w:i/>
    </w:rPr>
  </w:style>
  <w:style w:type="character" w:styleId="IntenseQuoteChar">
    <w:name w:val="Intense Quote Char"/>
    <w:qFormat/>
    <w:rPr>
      <w:i/>
    </w:rPr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CaptionChar">
    <w:name w:val="Caption Char"/>
    <w:qFormat/>
    <w:rPr/>
  </w:style>
  <w:style w:type="character" w:styleId="FootnoteTextChar">
    <w:name w:val="Footnote Text Char"/>
    <w:qFormat/>
    <w:rPr>
      <w:sz w:val="18"/>
    </w:rPr>
  </w:style>
  <w:style w:type="character" w:styleId="FootnoteCharacters">
    <w:name w:val="Footnote Characters"/>
    <w:qFormat/>
    <w:rPr>
      <w:vertAlign w:val="superscript"/>
    </w:rPr>
  </w:style>
  <w:style w:type="character" w:styleId="EndnoteTextChar">
    <w:name w:val="Endnote Text Char"/>
    <w:qFormat/>
    <w:rPr>
      <w:sz w:val="20"/>
    </w:rPr>
  </w:style>
  <w:style w:type="character" w:styleId="EndnoteCharacters">
    <w:name w:val="Endnote Characters"/>
    <w:qFormat/>
    <w:rPr>
      <w:vertAlign w:val="superscript"/>
    </w:rPr>
  </w:style>
  <w:style w:type="character" w:styleId="14">
    <w:name w:val="Основной текст (14)_"/>
    <w:basedOn w:val="DefaultParagraphFont"/>
    <w:qFormat/>
    <w:rPr>
      <w:rFonts w:ascii="Times New Roman" w:hAnsi="Times New Roman" w:eastAsia="Times New Roman" w:cs="Times New Roman"/>
      <w:shd w:fill="FFFFFF" w:val="clear"/>
    </w:rPr>
  </w:style>
  <w:style w:type="character" w:styleId="2">
    <w:name w:val="Подпись к таблице (2)_"/>
    <w:basedOn w:val="DefaultParagraphFont"/>
    <w:qFormat/>
    <w:rPr>
      <w:rFonts w:ascii="Times New Roman" w:hAnsi="Times New Roman" w:eastAsia="Times New Roman" w:cs="Times New Roman"/>
      <w:b/>
      <w:bCs/>
      <w:sz w:val="26"/>
      <w:szCs w:val="26"/>
      <w:shd w:fill="FFFFFF" w:val="clear"/>
    </w:rPr>
  </w:style>
  <w:style w:type="character" w:styleId="21">
    <w:name w:val="Основной текст (2)_"/>
    <w:basedOn w:val="DefaultParagraphFont"/>
    <w:qFormat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211pt">
    <w:name w:val="Основной текст (2) + 11 pt"/>
    <w:basedOn w:val="21"/>
    <w:qFormat/>
    <w:rPr>
      <w:rFonts w:ascii="Times New Roman" w:hAnsi="Times New Roman" w:eastAsia="Times New Roman" w:cs="Times New Roman"/>
      <w:color w:val="000000"/>
      <w:spacing w:val="0"/>
      <w:sz w:val="22"/>
      <w:szCs w:val="22"/>
      <w:shd w:fill="FFFFFF" w:val="clear"/>
      <w:lang w:val="ru-RU" w:eastAsia="ru-RU" w:bidi="ru-RU"/>
    </w:rPr>
  </w:style>
  <w:style w:type="character" w:styleId="Style2">
    <w:name w:val="Текст выноски Знак"/>
    <w:basedOn w:val="DefaultParagraphFont"/>
    <w:qFormat/>
    <w:rPr>
      <w:rFonts w:ascii="Segoe UI" w:hAnsi="Segoe UI" w:cs="Segoe UI"/>
      <w:sz w:val="18"/>
      <w:szCs w:val="18"/>
    </w:rPr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link w:val="CaptionChar"/>
    <w:qFormat/>
    <w:pPr>
      <w:spacing w:lineRule="auto" w:line="276"/>
    </w:pPr>
    <w:rPr>
      <w:b/>
      <w:bCs/>
      <w:color w:val="5B9BD5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Droid Sans Devanagari"/>
    </w:rPr>
  </w:style>
  <w:style w:type="paragraph" w:styleId="Title">
    <w:name w:val="Title"/>
    <w:basedOn w:val="Normal"/>
    <w:next w:val="BodyText"/>
    <w:qFormat/>
    <w:pPr>
      <w:spacing w:before="300" w:after="200"/>
      <w:contextualSpacing/>
    </w:pPr>
    <w:rPr>
      <w:sz w:val="48"/>
      <w:szCs w:val="48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ubtitle">
    <w:name w:val="Subtitle"/>
    <w:basedOn w:val="Normal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pPr>
      <w:spacing w:before="0" w:after="57"/>
    </w:pPr>
    <w:rPr/>
  </w:style>
  <w:style w:type="paragraph" w:styleId="TOC2">
    <w:name w:val="TOC 2"/>
    <w:basedOn w:val="Normal"/>
    <w:pPr>
      <w:spacing w:before="0" w:after="57"/>
      <w:ind w:left="283" w:right="0" w:hanging="0"/>
    </w:pPr>
    <w:rPr/>
  </w:style>
  <w:style w:type="paragraph" w:styleId="TOC3">
    <w:name w:val="TOC 3"/>
    <w:basedOn w:val="Normal"/>
    <w:pPr>
      <w:spacing w:before="0" w:after="57"/>
      <w:ind w:left="567" w:right="0" w:hanging="0"/>
    </w:pPr>
    <w:rPr/>
  </w:style>
  <w:style w:type="paragraph" w:styleId="TOC4">
    <w:name w:val="TOC 4"/>
    <w:basedOn w:val="Normal"/>
    <w:pPr>
      <w:spacing w:before="0" w:after="57"/>
      <w:ind w:left="850" w:right="0" w:hanging="0"/>
    </w:pPr>
    <w:rPr/>
  </w:style>
  <w:style w:type="paragraph" w:styleId="TOC5">
    <w:name w:val="TOC 5"/>
    <w:basedOn w:val="Normal"/>
    <w:pPr>
      <w:spacing w:before="0" w:after="57"/>
      <w:ind w:left="1134" w:right="0" w:hanging="0"/>
    </w:pPr>
    <w:rPr/>
  </w:style>
  <w:style w:type="paragraph" w:styleId="TOC6">
    <w:name w:val="TOC 6"/>
    <w:basedOn w:val="Normal"/>
    <w:pPr>
      <w:spacing w:before="0" w:after="57"/>
      <w:ind w:left="1417" w:right="0" w:hanging="0"/>
    </w:pPr>
    <w:rPr/>
  </w:style>
  <w:style w:type="paragraph" w:styleId="TOC7">
    <w:name w:val="TOC 7"/>
    <w:basedOn w:val="Normal"/>
    <w:pPr>
      <w:spacing w:before="0" w:after="57"/>
      <w:ind w:left="1701" w:right="0" w:hanging="0"/>
    </w:pPr>
    <w:rPr/>
  </w:style>
  <w:style w:type="paragraph" w:styleId="TOC8">
    <w:name w:val="TOC 8"/>
    <w:basedOn w:val="Normal"/>
    <w:pPr>
      <w:spacing w:before="0" w:after="57"/>
      <w:ind w:left="1984" w:right="0" w:hanging="0"/>
    </w:pPr>
    <w:rPr/>
  </w:style>
  <w:style w:type="paragraph" w:styleId="TOC9">
    <w:name w:val="TOC 9"/>
    <w:basedOn w:val="Normal"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Arial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qFormat/>
    <w:pPr>
      <w:spacing w:before="0" w:after="0"/>
    </w:pPr>
    <w:rPr/>
  </w:style>
  <w:style w:type="paragraph" w:styleId="141">
    <w:name w:val="Основной текст (14)"/>
    <w:basedOn w:val="Normal"/>
    <w:qFormat/>
    <w:pPr>
      <w:widowControl w:val="false"/>
      <w:shd w:val="clear" w:color="auto" w:fill="FFFFFF"/>
      <w:spacing w:lineRule="exact" w:line="244" w:before="400" w:after="700"/>
      <w:jc w:val="center"/>
    </w:pPr>
    <w:rPr>
      <w:rFonts w:ascii="Times New Roman" w:hAnsi="Times New Roman" w:eastAsia="Times New Roman" w:cs="Times New Roman"/>
    </w:rPr>
  </w:style>
  <w:style w:type="paragraph" w:styleId="22">
    <w:name w:val="Подпись к таблице (2)"/>
    <w:basedOn w:val="Normal"/>
    <w:qFormat/>
    <w:pPr>
      <w:widowControl w:val="false"/>
      <w:shd w:val="clear" w:color="auto" w:fill="FFFFFF"/>
      <w:spacing w:lineRule="exact" w:line="288" w:before="0" w:after="0"/>
    </w:pPr>
    <w:rPr>
      <w:rFonts w:ascii="Times New Roman" w:hAnsi="Times New Roman" w:eastAsia="Times New Roman" w:cs="Times New Roman"/>
      <w:b/>
      <w:bCs/>
      <w:sz w:val="26"/>
      <w:szCs w:val="26"/>
    </w:rPr>
  </w:style>
  <w:style w:type="paragraph" w:styleId="23">
    <w:name w:val="Основной текст (2)"/>
    <w:basedOn w:val="Normal"/>
    <w:qFormat/>
    <w:pPr>
      <w:widowControl w:val="false"/>
      <w:shd w:val="clear" w:color="auto" w:fill="FFFFFF"/>
      <w:spacing w:lineRule="exact" w:line="321" w:before="0" w:after="320"/>
      <w:ind w:left="0" w:right="0" w:hanging="1740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ru-RU" w:eastAsia="en-US" w:bidi="ar-SA"/>
    </w:rPr>
  </w:style>
  <w:style w:type="paragraph" w:styleId="Style6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styleId="654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5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658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659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0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1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68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9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0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1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2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3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6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7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8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9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0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1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683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684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685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686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687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688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689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6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6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6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6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6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6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696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6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6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6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03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0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18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19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20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21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22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23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24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5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6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7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8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29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0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1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2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3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4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5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6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7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745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52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7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7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7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7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7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7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7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7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7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7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7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7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7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773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774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775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776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777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778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779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58">
    <w:name w:val="Normal Table"/>
    <w:uiPriority w:val="99"/>
    <w:semiHidden/>
    <w:unhideWhenUsed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AlterOffice/2025.3.1.0$Linux_X86_64 LibreOffice_project/431cd1b79110582f53535c95ed0a2449aadc8bf9</Application>
  <AppVersion>15.0000</AppVersion>
  <Pages>1</Pages>
  <Words>82</Words>
  <Characters>558</Characters>
  <CharactersWithSpaces>622</CharactersWithSpaces>
  <Paragraphs>18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2023-06-28T01:40:00Z</dcterms:created>
  <dc:creator>Семенова Елена Витальевна</dc:creator>
  <dc:description/>
  <dc:language>ru-RU</dc:language>
  <cp:lastModifiedBy>chuvashev_vb@DGK.RU</cp:lastModifiedBy>
  <dcterms:modified xsi:type="dcterms:W3CDTF">2026-07-15T09:00:34Z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